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5F" w:rsidRDefault="00FC7A5F">
      <w:pPr>
        <w:pStyle w:val="a9"/>
        <w:snapToGrid/>
      </w:pPr>
    </w:p>
    <w:p w:rsidR="00FC7A5F" w:rsidRDefault="00FC7A5F">
      <w:pPr>
        <w:jc w:val="center"/>
        <w:rPr>
          <w:rFonts w:eastAsia="Malgun Gothic"/>
          <w:b/>
          <w:lang w:eastAsia="zh-CN"/>
        </w:rPr>
      </w:pPr>
    </w:p>
    <w:p w:rsidR="00FC7A5F" w:rsidRPr="00905FF4" w:rsidRDefault="00905FF4" w:rsidP="00905FF4">
      <w:pPr>
        <w:tabs>
          <w:tab w:val="center" w:pos="5032"/>
          <w:tab w:val="left" w:pos="8264"/>
        </w:tabs>
        <w:jc w:val="center"/>
        <w:rPr>
          <w:rFonts w:eastAsia="宋体"/>
          <w:b/>
          <w:sz w:val="32"/>
          <w:szCs w:val="32"/>
          <w:lang w:eastAsia="zh-CN"/>
        </w:rPr>
      </w:pPr>
      <w:r w:rsidRPr="00905FF4">
        <w:rPr>
          <w:b/>
          <w:sz w:val="32"/>
          <w:szCs w:val="32"/>
        </w:rPr>
        <w:t>Application Guideline for Exchange Students-202</w:t>
      </w:r>
      <w:r w:rsidR="005F2EC3" w:rsidRPr="00905FF4">
        <w:rPr>
          <w:b/>
          <w:sz w:val="32"/>
          <w:szCs w:val="32"/>
        </w:rPr>
        <w:t>2</w:t>
      </w:r>
      <w:r w:rsidRPr="00905FF4">
        <w:rPr>
          <w:b/>
          <w:sz w:val="32"/>
          <w:szCs w:val="32"/>
        </w:rPr>
        <w:t> Spring Semester</w:t>
      </w:r>
    </w:p>
    <w:p w:rsidR="00FC7A5F" w:rsidRPr="005F2EC3" w:rsidRDefault="00FC7A5F">
      <w:pPr>
        <w:rPr>
          <w:rFonts w:eastAsiaTheme="minorEastAsia"/>
          <w:sz w:val="22"/>
          <w:lang w:eastAsia="zh-CN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="Malgun Gothic"/>
          <w:b/>
          <w:sz w:val="22"/>
          <w:lang w:eastAsia="ko-KR"/>
        </w:rPr>
      </w:pPr>
      <w:r>
        <w:rPr>
          <w:rFonts w:eastAsia="宋体" w:hint="eastAsia"/>
          <w:b/>
          <w:sz w:val="24"/>
          <w:lang w:eastAsia="zh-CN"/>
        </w:rPr>
        <w:t>General Information</w:t>
      </w:r>
    </w:p>
    <w:tbl>
      <w:tblPr>
        <w:tblStyle w:val="a6"/>
        <w:tblW w:w="9902" w:type="dxa"/>
        <w:tblInd w:w="378" w:type="dxa"/>
        <w:tblLayout w:type="fixed"/>
        <w:tblLook w:val="04A0"/>
      </w:tblPr>
      <w:tblGrid>
        <w:gridCol w:w="2610"/>
        <w:gridCol w:w="7292"/>
      </w:tblGrid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>Name of Institution</w:t>
            </w:r>
          </w:p>
        </w:tc>
        <w:tc>
          <w:tcPr>
            <w:tcW w:w="7292" w:type="dxa"/>
          </w:tcPr>
          <w:p w:rsidR="00FC7A5F" w:rsidRDefault="00A022FF">
            <w:pPr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Shandong University, Weihai</w:t>
            </w:r>
            <w:r>
              <w:rPr>
                <w:rFonts w:eastAsia="宋体"/>
                <w:sz w:val="24"/>
                <w:szCs w:val="24"/>
                <w:lang w:eastAsia="zh-CN"/>
              </w:rPr>
              <w:t xml:space="preserve"> (SDUW)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 xml:space="preserve">Name of </w:t>
            </w:r>
            <w:r>
              <w:rPr>
                <w:rFonts w:eastAsia="宋体"/>
                <w:sz w:val="22"/>
                <w:lang w:eastAsia="zh-CN"/>
              </w:rPr>
              <w:t>Department</w:t>
            </w:r>
          </w:p>
        </w:tc>
        <w:tc>
          <w:tcPr>
            <w:tcW w:w="7292" w:type="dxa"/>
          </w:tcPr>
          <w:p w:rsidR="00FC7A5F" w:rsidRDefault="00A022FF">
            <w:pPr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/>
                <w:sz w:val="24"/>
                <w:szCs w:val="24"/>
                <w:lang w:eastAsia="zh-CN"/>
              </w:rPr>
              <w:t>International Office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>General Website</w:t>
            </w:r>
          </w:p>
        </w:tc>
        <w:tc>
          <w:tcPr>
            <w:tcW w:w="7292" w:type="dxa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Malgun Gothic" w:hint="eastAsia"/>
                <w:sz w:val="24"/>
                <w:szCs w:val="24"/>
                <w:lang w:eastAsia="ko-KR"/>
              </w:rPr>
              <w:t>http://ko.wh.sdu.edu.cn/koDefault.html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>Address</w:t>
            </w:r>
          </w:p>
        </w:tc>
        <w:tc>
          <w:tcPr>
            <w:tcW w:w="7292" w:type="dxa"/>
          </w:tcPr>
          <w:p w:rsidR="00FC7A5F" w:rsidRDefault="00297074">
            <w:pPr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/>
                <w:sz w:val="24"/>
                <w:szCs w:val="24"/>
                <w:lang w:eastAsia="zh-CN"/>
              </w:rPr>
              <w:t>Room 51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>0</w:t>
            </w:r>
            <w:r w:rsidR="00A022FF">
              <w:rPr>
                <w:rFonts w:eastAsia="宋体"/>
                <w:sz w:val="24"/>
                <w:szCs w:val="24"/>
                <w:lang w:eastAsia="zh-CN"/>
              </w:rPr>
              <w:t xml:space="preserve"> Zhixing Building, No. 180 Wenhua Xilu, Weihai, Shandong Province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>Tel:</w:t>
            </w:r>
          </w:p>
        </w:tc>
        <w:tc>
          <w:tcPr>
            <w:tcW w:w="7292" w:type="dxa"/>
          </w:tcPr>
          <w:p w:rsidR="00FC7A5F" w:rsidRPr="0011161E" w:rsidRDefault="00A022FF" w:rsidP="0011161E">
            <w:pPr>
              <w:rPr>
                <w:rFonts w:eastAsia="Malgun Gothic"/>
                <w:sz w:val="24"/>
                <w:szCs w:val="24"/>
                <w:lang w:val="en-US" w:eastAsia="ko-KR"/>
              </w:rPr>
            </w:pPr>
            <w:bookmarkStart w:id="0" w:name="OLE_LINK1"/>
            <w:r>
              <w:rPr>
                <w:rFonts w:eastAsia="宋体" w:hint="eastAsia"/>
                <w:sz w:val="24"/>
                <w:szCs w:val="24"/>
                <w:lang w:val="en-US" w:eastAsia="zh-CN"/>
              </w:rPr>
              <w:t>+86-631-568</w:t>
            </w:r>
            <w:bookmarkEnd w:id="0"/>
            <w:r w:rsidR="0011161E">
              <w:rPr>
                <w:rFonts w:eastAsia="Malgun Gothic" w:hint="eastAsia"/>
                <w:sz w:val="24"/>
                <w:szCs w:val="24"/>
                <w:lang w:val="en-US" w:eastAsia="ko-KR"/>
              </w:rPr>
              <w:t>8016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>Fax:</w:t>
            </w:r>
          </w:p>
        </w:tc>
        <w:tc>
          <w:tcPr>
            <w:tcW w:w="7292" w:type="dxa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4"/>
                <w:szCs w:val="24"/>
                <w:lang w:val="en-US" w:eastAsia="zh-CN"/>
              </w:rPr>
              <w:t>+86-631-5688787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2"/>
                <w:lang w:eastAsia="zh-CN"/>
              </w:rPr>
              <w:t>Coordinator for I</w:t>
            </w:r>
            <w:r>
              <w:rPr>
                <w:rFonts w:eastAsia="宋体"/>
                <w:sz w:val="22"/>
                <w:lang w:eastAsia="zh-CN"/>
              </w:rPr>
              <w:t>n</w:t>
            </w:r>
            <w:r>
              <w:rPr>
                <w:rFonts w:eastAsia="宋体" w:hint="eastAsia"/>
                <w:sz w:val="22"/>
                <w:lang w:eastAsia="zh-CN"/>
              </w:rPr>
              <w:t xml:space="preserve">coming </w:t>
            </w:r>
            <w:r>
              <w:rPr>
                <w:rFonts w:eastAsia="宋体"/>
                <w:sz w:val="22"/>
                <w:lang w:eastAsia="zh-CN"/>
              </w:rPr>
              <w:t>Students</w:t>
            </w:r>
          </w:p>
        </w:tc>
        <w:tc>
          <w:tcPr>
            <w:tcW w:w="7292" w:type="dxa"/>
          </w:tcPr>
          <w:p w:rsidR="00FC7A5F" w:rsidRPr="0011161E" w:rsidRDefault="00A022FF" w:rsidP="0011161E">
            <w:pPr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 xml:space="preserve"> </w:t>
            </w:r>
            <w:r w:rsidR="0011161E">
              <w:rPr>
                <w:rFonts w:eastAsia="Malgun Gothic" w:hint="eastAsia"/>
                <w:sz w:val="24"/>
                <w:szCs w:val="24"/>
                <w:lang w:eastAsia="ko-KR"/>
              </w:rPr>
              <w:t>Yin Meihua</w:t>
            </w:r>
          </w:p>
        </w:tc>
      </w:tr>
      <w:tr w:rsidR="00FC7A5F">
        <w:tc>
          <w:tcPr>
            <w:tcW w:w="2610" w:type="dxa"/>
            <w:vAlign w:val="center"/>
          </w:tcPr>
          <w:p w:rsidR="00FC7A5F" w:rsidRDefault="00A022FF">
            <w:pPr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Email:</w:t>
            </w:r>
          </w:p>
        </w:tc>
        <w:tc>
          <w:tcPr>
            <w:tcW w:w="7292" w:type="dxa"/>
          </w:tcPr>
          <w:p w:rsidR="00FC7A5F" w:rsidRDefault="00BB38C7" w:rsidP="0011161E">
            <w:pPr>
              <w:rPr>
                <w:rFonts w:eastAsia="宋体"/>
                <w:color w:val="222222"/>
                <w:sz w:val="24"/>
                <w:szCs w:val="24"/>
                <w:shd w:val="clear" w:color="auto" w:fill="FFFFFF"/>
                <w:lang w:val="en-US" w:eastAsia="zh-CN"/>
              </w:rPr>
            </w:pPr>
            <w:r w:rsidRPr="00BB38C7">
              <w:rPr>
                <w:rFonts w:eastAsia="Malgun Gothic"/>
                <w:color w:val="222222"/>
                <w:sz w:val="24"/>
                <w:szCs w:val="24"/>
                <w:shd w:val="clear" w:color="auto" w:fill="FFFFFF"/>
                <w:lang w:val="en-US" w:eastAsia="ko-KR"/>
              </w:rPr>
              <w:t>exchangestudent@email.sdu.edu.cn</w:t>
            </w:r>
          </w:p>
        </w:tc>
      </w:tr>
    </w:tbl>
    <w:p w:rsidR="00FC7A5F" w:rsidRDefault="00FC7A5F">
      <w:pPr>
        <w:spacing w:line="360" w:lineRule="auto"/>
        <w:rPr>
          <w:rFonts w:eastAsia="Malgun Gothic"/>
          <w:sz w:val="22"/>
          <w:lang w:eastAsia="ko-KR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="Malgun Gothic"/>
          <w:b/>
          <w:sz w:val="22"/>
          <w:lang w:eastAsia="ko-KR"/>
        </w:rPr>
      </w:pPr>
      <w:r>
        <w:rPr>
          <w:rFonts w:eastAsia="宋体" w:hint="eastAsia"/>
          <w:b/>
          <w:sz w:val="24"/>
          <w:lang w:eastAsia="zh-CN"/>
        </w:rPr>
        <w:t>Submitting Documents</w:t>
      </w:r>
    </w:p>
    <w:tbl>
      <w:tblPr>
        <w:tblStyle w:val="a6"/>
        <w:tblW w:w="8638" w:type="dxa"/>
        <w:jc w:val="center"/>
        <w:tblLayout w:type="fixed"/>
        <w:tblLook w:val="04A0"/>
      </w:tblPr>
      <w:tblGrid>
        <w:gridCol w:w="1043"/>
        <w:gridCol w:w="6459"/>
        <w:gridCol w:w="1136"/>
      </w:tblGrid>
      <w:tr w:rsidR="00FC7A5F">
        <w:trPr>
          <w:trHeight w:val="484"/>
          <w:jc w:val="center"/>
        </w:trPr>
        <w:tc>
          <w:tcPr>
            <w:tcW w:w="1043" w:type="dxa"/>
            <w:vAlign w:val="center"/>
          </w:tcPr>
          <w:p w:rsidR="00FC7A5F" w:rsidRDefault="00A022FF">
            <w:pPr>
              <w:ind w:firstLine="300"/>
              <w:jc w:val="both"/>
              <w:rPr>
                <w:rFonts w:ascii="Batang" w:eastAsia="Batang" w:hAnsi="Batang" w:cs="Batang"/>
                <w:sz w:val="22"/>
                <w:lang w:eastAsia="zh-CN"/>
              </w:rPr>
            </w:pPr>
            <w:r>
              <w:rPr>
                <w:rFonts w:ascii="Batang" w:eastAsia="Batang" w:hAnsi="Batang" w:cs="Batang" w:hint="eastAsia"/>
                <w:sz w:val="22"/>
                <w:lang w:eastAsia="zh-CN"/>
              </w:rPr>
              <w:sym w:font="Wingdings" w:char="F0FC"/>
            </w: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List of Submitting Documents</w:t>
            </w:r>
          </w:p>
        </w:tc>
        <w:tc>
          <w:tcPr>
            <w:tcW w:w="1136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 xml:space="preserve"> Number</w:t>
            </w:r>
          </w:p>
        </w:tc>
      </w:tr>
      <w:tr w:rsidR="00FC7A5F">
        <w:trPr>
          <w:trHeight w:val="430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1.Catalogue of Submitting Documents for SDUW Exchange Students 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  <w:tr w:rsidR="00FC7A5F">
        <w:trPr>
          <w:trHeight w:val="462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2.Application Form 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  <w:tr w:rsidR="00FC7A5F">
        <w:trPr>
          <w:trHeight w:val="455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3.Transcripts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  <w:tr w:rsidR="00FC7A5F">
        <w:trPr>
          <w:trHeight w:val="387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4.Certificate of Enrollment 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  <w:tr w:rsidR="00FC7A5F">
        <w:trPr>
          <w:trHeight w:val="387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5.Copies of Passport</w:t>
            </w:r>
            <w:r w:rsidR="001D0458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(Passport </w:t>
            </w:r>
            <w:r w:rsidR="001D0458">
              <w:rPr>
                <w:rFonts w:eastAsia="宋体" w:hint="eastAsia"/>
                <w:sz w:val="21"/>
                <w:szCs w:val="22"/>
                <w:lang w:eastAsia="zh-CN"/>
              </w:rPr>
              <w:t>d</w:t>
            </w:r>
            <w:r w:rsidR="001D0458" w:rsidRPr="001D0458">
              <w:rPr>
                <w:rFonts w:eastAsia="宋体"/>
                <w:sz w:val="21"/>
                <w:szCs w:val="22"/>
                <w:lang w:eastAsia="zh-CN"/>
              </w:rPr>
              <w:t>ate of expiry</w:t>
            </w:r>
            <w:r w:rsidR="001D0458">
              <w:rPr>
                <w:rFonts w:eastAsia="宋体" w:hint="eastAsia"/>
                <w:sz w:val="21"/>
                <w:szCs w:val="22"/>
                <w:lang w:eastAsia="zh-CN"/>
              </w:rPr>
              <w:t xml:space="preserve"> should be more than one year</w:t>
            </w:r>
            <w:r w:rsidR="001D0458">
              <w:rPr>
                <w:rFonts w:eastAsia="宋体" w:hint="eastAsia"/>
                <w:sz w:val="21"/>
                <w:szCs w:val="22"/>
                <w:lang w:val="en-US" w:eastAsia="zh-CN"/>
              </w:rPr>
              <w:t>)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ko-KR"/>
              </w:rPr>
            </w:pPr>
            <w:r>
              <w:rPr>
                <w:rFonts w:eastAsia="宋体"/>
                <w:sz w:val="21"/>
                <w:szCs w:val="22"/>
                <w:lang w:val="en-US" w:eastAsia="ko-KR"/>
              </w:rPr>
              <w:t>2</w:t>
            </w:r>
          </w:p>
        </w:tc>
      </w:tr>
      <w:tr w:rsidR="00FC7A5F">
        <w:trPr>
          <w:trHeight w:val="420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6.Official Photos (3.5cm × 4.9cm</w:t>
            </w:r>
            <w:r w:rsidR="004A30F3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 </w:t>
            </w:r>
            <w:r w:rsidR="001D0458">
              <w:rPr>
                <w:rFonts w:eastAsia="宋体" w:hint="eastAsia"/>
                <w:sz w:val="21"/>
                <w:szCs w:val="22"/>
                <w:lang w:val="en-US" w:eastAsia="zh-CN"/>
              </w:rPr>
              <w:t xml:space="preserve">with </w:t>
            </w:r>
            <w:r w:rsidR="004A30F3">
              <w:rPr>
                <w:rFonts w:eastAsia="宋体" w:hint="eastAsia"/>
                <w:sz w:val="21"/>
                <w:szCs w:val="22"/>
                <w:lang w:val="en-US" w:eastAsia="zh-CN"/>
              </w:rPr>
              <w:t>white background</w:t>
            </w:r>
            <w:r>
              <w:rPr>
                <w:rFonts w:eastAsia="宋体"/>
                <w:sz w:val="21"/>
                <w:szCs w:val="22"/>
                <w:lang w:val="en-US" w:eastAsia="zh-CN"/>
              </w:rPr>
              <w:t>)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4</w:t>
            </w:r>
          </w:p>
        </w:tc>
      </w:tr>
      <w:tr w:rsidR="00FC7A5F">
        <w:trPr>
          <w:trHeight w:val="430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7.Copy of Certificate of HSK (if available) 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  <w:tr w:rsidR="00FC7A5F">
        <w:trPr>
          <w:trHeight w:val="601"/>
          <w:jc w:val="center"/>
        </w:trPr>
        <w:tc>
          <w:tcPr>
            <w:tcW w:w="1043" w:type="dxa"/>
          </w:tcPr>
          <w:p w:rsidR="00FC7A5F" w:rsidRDefault="00FC7A5F">
            <w:pPr>
              <w:rPr>
                <w:rFonts w:ascii="Batang" w:eastAsia="Batang" w:hAnsi="Batang" w:cs="Batang"/>
                <w:sz w:val="22"/>
                <w:lang w:eastAsia="zh-CN"/>
              </w:rPr>
            </w:pPr>
          </w:p>
        </w:tc>
        <w:tc>
          <w:tcPr>
            <w:tcW w:w="6459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 xml:space="preserve">8.A digital photo, list of exchange students in the form of EXCEL (relevant staff need to help students to complete it) </w:t>
            </w:r>
          </w:p>
        </w:tc>
        <w:tc>
          <w:tcPr>
            <w:tcW w:w="1136" w:type="dxa"/>
            <w:vAlign w:val="center"/>
          </w:tcPr>
          <w:p w:rsidR="00FC7A5F" w:rsidRDefault="00A022FF">
            <w:pPr>
              <w:pStyle w:val="1"/>
              <w:ind w:leftChars="0" w:left="0"/>
              <w:jc w:val="center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1</w:t>
            </w:r>
          </w:p>
        </w:tc>
      </w:tr>
    </w:tbl>
    <w:p w:rsidR="00FC7A5F" w:rsidRDefault="00FC7A5F">
      <w:pPr>
        <w:pStyle w:val="1"/>
        <w:spacing w:line="360" w:lineRule="auto"/>
        <w:ind w:leftChars="0" w:left="360"/>
        <w:rPr>
          <w:rFonts w:eastAsia="Malgun Gothic"/>
          <w:b/>
          <w:sz w:val="22"/>
          <w:lang w:eastAsia="ko-KR"/>
        </w:rPr>
      </w:pPr>
    </w:p>
    <w:p w:rsidR="00FC7A5F" w:rsidRDefault="00FC7A5F">
      <w:pPr>
        <w:spacing w:line="360" w:lineRule="auto"/>
        <w:rPr>
          <w:rFonts w:eastAsia="Malgun Gothic"/>
          <w:b/>
          <w:sz w:val="22"/>
          <w:lang w:eastAsia="ko-KR"/>
        </w:rPr>
      </w:pPr>
    </w:p>
    <w:p w:rsidR="00FC7A5F" w:rsidRDefault="00FC7A5F">
      <w:pPr>
        <w:spacing w:line="360" w:lineRule="auto"/>
        <w:rPr>
          <w:rFonts w:eastAsia="Malgun Gothic"/>
          <w:b/>
          <w:sz w:val="22"/>
          <w:lang w:eastAsia="ko-KR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="Malgun Gothic"/>
          <w:b/>
          <w:sz w:val="22"/>
          <w:lang w:eastAsia="ko-KR"/>
        </w:rPr>
      </w:pPr>
      <w:r>
        <w:rPr>
          <w:rFonts w:eastAsia="宋体"/>
          <w:b/>
          <w:sz w:val="24"/>
          <w:lang w:val="en-US" w:eastAsia="zh-CN"/>
        </w:rPr>
        <w:t>Arrangements</w:t>
      </w:r>
    </w:p>
    <w:tbl>
      <w:tblPr>
        <w:tblStyle w:val="a6"/>
        <w:tblW w:w="9203" w:type="dxa"/>
        <w:tblInd w:w="828" w:type="dxa"/>
        <w:tblLayout w:type="fixed"/>
        <w:tblLook w:val="04A0"/>
      </w:tblPr>
      <w:tblGrid>
        <w:gridCol w:w="3108"/>
        <w:gridCol w:w="6095"/>
      </w:tblGrid>
      <w:tr w:rsidR="00FC7A5F">
        <w:tc>
          <w:tcPr>
            <w:tcW w:w="3108" w:type="dxa"/>
            <w:shd w:val="clear" w:color="auto" w:fill="BFBFBF" w:themeFill="background1" w:themeFillShade="BF"/>
            <w:vAlign w:val="center"/>
          </w:tcPr>
          <w:p w:rsidR="00FC7A5F" w:rsidRDefault="00A022FF">
            <w:pPr>
              <w:jc w:val="center"/>
              <w:rPr>
                <w:rFonts w:eastAsia="宋体"/>
                <w:b/>
                <w:lang w:eastAsia="zh-CN"/>
              </w:rPr>
            </w:pPr>
            <w:r>
              <w:rPr>
                <w:rFonts w:eastAsia="宋体"/>
                <w:b/>
                <w:lang w:eastAsia="zh-CN"/>
              </w:rPr>
              <w:t>Date</w:t>
            </w:r>
          </w:p>
        </w:tc>
        <w:tc>
          <w:tcPr>
            <w:tcW w:w="6095" w:type="dxa"/>
            <w:shd w:val="clear" w:color="auto" w:fill="BFBFBF" w:themeFill="background1" w:themeFillShade="BF"/>
            <w:vAlign w:val="center"/>
          </w:tcPr>
          <w:p w:rsidR="00FC7A5F" w:rsidRPr="00BB38C7" w:rsidRDefault="00297074" w:rsidP="00BB38C7">
            <w:pPr>
              <w:jc w:val="center"/>
              <w:rPr>
                <w:rFonts w:eastAsia="Malgun Gothic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SPRING</w:t>
            </w:r>
            <w:r w:rsidR="00A022FF">
              <w:rPr>
                <w:rFonts w:eastAsiaTheme="minorEastAsia"/>
                <w:b/>
                <w:lang w:eastAsia="ko-KR"/>
              </w:rPr>
              <w:t>, 20</w:t>
            </w:r>
            <w:r w:rsidR="00BB38C7">
              <w:rPr>
                <w:rFonts w:eastAsia="Malgun Gothic" w:hint="eastAsia"/>
                <w:b/>
                <w:lang w:eastAsia="ko-KR"/>
              </w:rPr>
              <w:t>21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lang w:eastAsia="zh-CN"/>
              </w:rPr>
              <w:t>Application Deadline</w:t>
            </w:r>
          </w:p>
        </w:tc>
        <w:tc>
          <w:tcPr>
            <w:tcW w:w="6095" w:type="dxa"/>
            <w:vAlign w:val="center"/>
          </w:tcPr>
          <w:p w:rsidR="00FC7A5F" w:rsidRDefault="00A022FF" w:rsidP="00BB38C7">
            <w:pPr>
              <w:jc w:val="center"/>
              <w:rPr>
                <w:rFonts w:eastAsia="宋体"/>
                <w:lang w:val="en-US" w:eastAsia="zh-CN"/>
              </w:rPr>
            </w:pPr>
            <w:r>
              <w:rPr>
                <w:rFonts w:eastAsia="宋体"/>
                <w:lang w:val="en-US" w:eastAsia="zh-CN"/>
              </w:rPr>
              <w:t>20</w:t>
            </w:r>
            <w:r w:rsidR="00BB38C7">
              <w:rPr>
                <w:rFonts w:eastAsia="Malgun Gothic" w:hint="eastAsia"/>
                <w:lang w:val="en-US" w:eastAsia="ko-KR"/>
              </w:rPr>
              <w:t>2</w:t>
            </w:r>
            <w:r w:rsidR="005F2EC3">
              <w:rPr>
                <w:rFonts w:asciiTheme="minorEastAsia" w:eastAsiaTheme="minorEastAsia" w:hAnsiTheme="minorEastAsia" w:hint="eastAsia"/>
                <w:lang w:val="en-US" w:eastAsia="zh-CN"/>
              </w:rPr>
              <w:t>1</w:t>
            </w:r>
            <w:r>
              <w:rPr>
                <w:rFonts w:eastAsia="宋体"/>
                <w:lang w:val="en-US" w:eastAsia="zh-CN"/>
              </w:rPr>
              <w:t>.</w:t>
            </w:r>
            <w:r>
              <w:rPr>
                <w:rFonts w:eastAsia="Batang" w:hint="eastAsia"/>
                <w:lang w:val="en-US" w:eastAsia="ko-KR"/>
              </w:rPr>
              <w:t>11</w:t>
            </w:r>
            <w:r w:rsidR="00BA6C83">
              <w:rPr>
                <w:rFonts w:eastAsiaTheme="minorEastAsia" w:hint="eastAsia"/>
                <w:lang w:val="en-US" w:eastAsia="zh-CN"/>
              </w:rPr>
              <w:t>.</w:t>
            </w:r>
            <w:r>
              <w:rPr>
                <w:rFonts w:eastAsia="宋体"/>
                <w:lang w:val="en-US" w:eastAsia="zh-CN"/>
              </w:rPr>
              <w:t>1</w:t>
            </w:r>
            <w:r>
              <w:rPr>
                <w:rFonts w:eastAsia="Batang"/>
                <w:lang w:val="en-US" w:eastAsia="ko-KR"/>
              </w:rPr>
              <w:t>5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>Submitting Documents Deadline</w:t>
            </w:r>
          </w:p>
        </w:tc>
        <w:tc>
          <w:tcPr>
            <w:tcW w:w="6095" w:type="dxa"/>
            <w:vAlign w:val="center"/>
          </w:tcPr>
          <w:p w:rsidR="00FC7A5F" w:rsidRPr="00BB38C7" w:rsidRDefault="00A022FF" w:rsidP="00BB38C7">
            <w:pPr>
              <w:jc w:val="center"/>
              <w:rPr>
                <w:rFonts w:eastAsia="Malgun Gothic"/>
                <w:lang w:val="en-US" w:eastAsia="ko-KR"/>
              </w:rPr>
            </w:pPr>
            <w:r>
              <w:rPr>
                <w:rFonts w:eastAsia="宋体"/>
                <w:lang w:val="en-US" w:eastAsia="zh-CN"/>
              </w:rPr>
              <w:t>20</w:t>
            </w:r>
            <w:r w:rsidR="00BB38C7">
              <w:rPr>
                <w:rFonts w:eastAsia="Malgun Gothic" w:hint="eastAsia"/>
                <w:lang w:val="en-US" w:eastAsia="ko-KR"/>
              </w:rPr>
              <w:t>2</w:t>
            </w:r>
            <w:r w:rsidR="005F2EC3">
              <w:rPr>
                <w:rFonts w:asciiTheme="minorEastAsia" w:eastAsiaTheme="minorEastAsia" w:hAnsiTheme="minorEastAsia" w:hint="eastAsia"/>
                <w:lang w:val="en-US" w:eastAsia="zh-CN"/>
              </w:rPr>
              <w:t>1</w:t>
            </w:r>
            <w:r>
              <w:rPr>
                <w:rFonts w:eastAsia="宋体"/>
                <w:lang w:val="en-US" w:eastAsia="zh-CN"/>
              </w:rPr>
              <w:t>.</w:t>
            </w:r>
            <w:r>
              <w:rPr>
                <w:rFonts w:eastAsia="Batang" w:hint="eastAsia"/>
                <w:lang w:val="en-US" w:eastAsia="ko-KR"/>
              </w:rPr>
              <w:t>11</w:t>
            </w:r>
            <w:bookmarkStart w:id="1" w:name="_GoBack"/>
            <w:bookmarkEnd w:id="1"/>
            <w:r>
              <w:rPr>
                <w:rFonts w:eastAsia="宋体"/>
                <w:lang w:val="en-US" w:eastAsia="zh-CN"/>
              </w:rPr>
              <w:t>.</w:t>
            </w:r>
            <w:r w:rsidR="00BB38C7">
              <w:rPr>
                <w:rFonts w:eastAsia="Malgun Gothic" w:hint="eastAsia"/>
                <w:lang w:val="en-US" w:eastAsia="ko-KR"/>
              </w:rPr>
              <w:t>30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Batang"/>
                <w:sz w:val="22"/>
                <w:lang w:eastAsia="zh-CN"/>
              </w:rPr>
              <w:t xml:space="preserve">Dormitory Check-in 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 xml:space="preserve">Pick-up 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rPr>
          <w:trHeight w:val="90"/>
        </w:trPr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>Orientation Meeting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 xml:space="preserve">Course Selection 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val="en-US" w:eastAsia="ko-KR"/>
              </w:rPr>
            </w:pPr>
            <w:r>
              <w:rPr>
                <w:rFonts w:eastAsia="宋体"/>
                <w:sz w:val="22"/>
                <w:lang w:eastAsia="zh-CN"/>
              </w:rPr>
              <w:t>First Day of Semester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>Holiday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  <w:tr w:rsidR="00FC7A5F">
        <w:tc>
          <w:tcPr>
            <w:tcW w:w="3108" w:type="dxa"/>
            <w:vAlign w:val="center"/>
          </w:tcPr>
          <w:p w:rsidR="00FC7A5F" w:rsidRDefault="00A022FF">
            <w:pPr>
              <w:rPr>
                <w:lang w:eastAsia="ko-KR"/>
              </w:rPr>
            </w:pPr>
            <w:r>
              <w:rPr>
                <w:rFonts w:eastAsia="宋体"/>
                <w:sz w:val="22"/>
                <w:lang w:eastAsia="zh-CN"/>
              </w:rPr>
              <w:t>Dormitory Check-out</w:t>
            </w:r>
          </w:p>
        </w:tc>
        <w:tc>
          <w:tcPr>
            <w:tcW w:w="6095" w:type="dxa"/>
            <w:vAlign w:val="center"/>
          </w:tcPr>
          <w:p w:rsidR="00FC7A5F" w:rsidRDefault="00A022FF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="宋体"/>
                <w:lang w:eastAsia="zh-CN"/>
              </w:rPr>
              <w:t>Uncertain</w:t>
            </w:r>
          </w:p>
        </w:tc>
      </w:tr>
    </w:tbl>
    <w:p w:rsidR="00FC7A5F" w:rsidRDefault="00A022F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  <w:r>
        <w:rPr>
          <w:rFonts w:eastAsiaTheme="minorHAnsi" w:hint="eastAsia"/>
          <w:sz w:val="22"/>
          <w:lang w:eastAsia="zh-CN"/>
        </w:rPr>
        <w:t xml:space="preserve">* </w:t>
      </w:r>
      <w:r>
        <w:rPr>
          <w:rFonts w:eastAsiaTheme="minorHAnsi"/>
          <w:sz w:val="22"/>
          <w:lang w:eastAsia="zh-CN"/>
        </w:rPr>
        <w:t>If there is any change, you will be notified by SDUW.</w:t>
      </w:r>
    </w:p>
    <w:p w:rsidR="00FC7A5F" w:rsidRDefault="00FC7A5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</w:p>
    <w:p w:rsidR="00FC7A5F" w:rsidRDefault="00FC7A5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</w:p>
    <w:p w:rsidR="00FC7A5F" w:rsidRDefault="00FC7A5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</w:p>
    <w:p w:rsidR="00FC7A5F" w:rsidRDefault="00FC7A5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</w:p>
    <w:p w:rsidR="00FC7A5F" w:rsidRDefault="00FC7A5F">
      <w:pPr>
        <w:spacing w:line="360" w:lineRule="auto"/>
        <w:ind w:firstLineChars="300" w:firstLine="660"/>
        <w:rPr>
          <w:rFonts w:eastAsia="宋体"/>
          <w:sz w:val="22"/>
          <w:lang w:eastAsia="zh-CN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Theme="minorEastAsia"/>
          <w:b/>
          <w:lang w:eastAsia="ko-KR"/>
        </w:rPr>
      </w:pPr>
      <w:r>
        <w:rPr>
          <w:rFonts w:eastAsia="宋体" w:hint="eastAsia"/>
          <w:b/>
          <w:lang w:eastAsia="zh-CN"/>
        </w:rPr>
        <w:lastRenderedPageBreak/>
        <w:t>Course I</w:t>
      </w:r>
      <w:r>
        <w:rPr>
          <w:rFonts w:eastAsia="宋体"/>
          <w:b/>
          <w:lang w:eastAsia="zh-CN"/>
        </w:rPr>
        <w:t>n</w:t>
      </w:r>
      <w:r>
        <w:rPr>
          <w:rFonts w:eastAsia="宋体" w:hint="eastAsia"/>
          <w:b/>
          <w:lang w:eastAsia="zh-CN"/>
        </w:rPr>
        <w:t xml:space="preserve">formation </w:t>
      </w:r>
    </w:p>
    <w:tbl>
      <w:tblPr>
        <w:tblStyle w:val="a6"/>
        <w:tblW w:w="9311" w:type="dxa"/>
        <w:tblInd w:w="720" w:type="dxa"/>
        <w:tblLayout w:type="fixed"/>
        <w:tblLook w:val="04A0"/>
      </w:tblPr>
      <w:tblGrid>
        <w:gridCol w:w="3145"/>
        <w:gridCol w:w="6166"/>
      </w:tblGrid>
      <w:tr w:rsidR="00FC7A5F">
        <w:tc>
          <w:tcPr>
            <w:tcW w:w="3145" w:type="dxa"/>
            <w:vAlign w:val="center"/>
          </w:tcPr>
          <w:p w:rsidR="00FC7A5F" w:rsidRDefault="00A022FF">
            <w:pPr>
              <w:pStyle w:val="1"/>
              <w:spacing w:line="360" w:lineRule="auto"/>
              <w:ind w:leftChars="0" w:left="0"/>
              <w:jc w:val="both"/>
              <w:rPr>
                <w:rFonts w:eastAsia="宋体"/>
                <w:lang w:eastAsia="ko-KR"/>
              </w:rPr>
            </w:pPr>
            <w:r>
              <w:rPr>
                <w:rFonts w:eastAsia="宋体"/>
                <w:lang w:eastAsia="zh-CN"/>
              </w:rPr>
              <w:t>Courses</w:t>
            </w:r>
          </w:p>
        </w:tc>
        <w:tc>
          <w:tcPr>
            <w:tcW w:w="6166" w:type="dxa"/>
            <w:vAlign w:val="center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 xml:space="preserve">Students shall select courses according to home university’s policy. </w:t>
            </w:r>
          </w:p>
        </w:tc>
      </w:tr>
      <w:tr w:rsidR="00FC7A5F">
        <w:tc>
          <w:tcPr>
            <w:tcW w:w="3145" w:type="dxa"/>
            <w:vAlign w:val="center"/>
          </w:tcPr>
          <w:p w:rsidR="00FC7A5F" w:rsidRDefault="00A022FF">
            <w:pPr>
              <w:pStyle w:val="1"/>
              <w:spacing w:line="360" w:lineRule="auto"/>
              <w:ind w:leftChars="0" w:left="0"/>
              <w:jc w:val="both"/>
              <w:rPr>
                <w:rFonts w:eastAsia="宋体"/>
                <w:lang w:eastAsia="zh-CN"/>
              </w:rPr>
            </w:pPr>
            <w:r>
              <w:rPr>
                <w:rFonts w:eastAsia="宋体"/>
                <w:sz w:val="22"/>
                <w:lang w:eastAsia="zh-CN"/>
              </w:rPr>
              <w:t>Courses Instructed in Chinese</w:t>
            </w:r>
          </w:p>
        </w:tc>
        <w:tc>
          <w:tcPr>
            <w:tcW w:w="6166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 xml:space="preserve">Students shall select language courses or SDUW undergraduate program for Chinese language according to their Chinese proficiency and home university’s policy. </w:t>
            </w:r>
          </w:p>
        </w:tc>
      </w:tr>
      <w:tr w:rsidR="00FC7A5F">
        <w:tc>
          <w:tcPr>
            <w:tcW w:w="3145" w:type="dxa"/>
          </w:tcPr>
          <w:p w:rsidR="00FC7A5F" w:rsidRDefault="00A022FF">
            <w:pPr>
              <w:pStyle w:val="1"/>
              <w:spacing w:line="360" w:lineRule="auto"/>
              <w:ind w:leftChars="0" w:left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Course Selection</w:t>
            </w:r>
          </w:p>
        </w:tc>
        <w:tc>
          <w:tcPr>
            <w:tcW w:w="6166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Students shall do online course selection via SDUW Course Selection System and detailed information will be announced later.</w:t>
            </w:r>
          </w:p>
        </w:tc>
      </w:tr>
      <w:tr w:rsidR="00FC7A5F">
        <w:tc>
          <w:tcPr>
            <w:tcW w:w="3145" w:type="dxa"/>
          </w:tcPr>
          <w:p w:rsidR="00FC7A5F" w:rsidRDefault="00A022FF">
            <w:pPr>
              <w:pStyle w:val="1"/>
              <w:spacing w:line="360" w:lineRule="auto"/>
              <w:ind w:leftChars="0" w:left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Fees of Books</w:t>
            </w:r>
          </w:p>
        </w:tc>
        <w:tc>
          <w:tcPr>
            <w:tcW w:w="6166" w:type="dxa"/>
          </w:tcPr>
          <w:p w:rsidR="00FC7A5F" w:rsidRDefault="00A022FF">
            <w:pPr>
              <w:pStyle w:val="1"/>
              <w:ind w:leftChars="0" w:left="0"/>
              <w:jc w:val="both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 xml:space="preserve">The fees are subject to the courses selected. </w:t>
            </w:r>
          </w:p>
        </w:tc>
      </w:tr>
    </w:tbl>
    <w:p w:rsidR="00FC7A5F" w:rsidRDefault="00FC7A5F">
      <w:pPr>
        <w:spacing w:line="360" w:lineRule="auto"/>
        <w:rPr>
          <w:rFonts w:eastAsia="宋体"/>
          <w:lang w:eastAsia="zh-CN"/>
        </w:rPr>
      </w:pPr>
    </w:p>
    <w:p w:rsidR="00FC7A5F" w:rsidRDefault="00FC7A5F">
      <w:pPr>
        <w:pStyle w:val="1"/>
        <w:spacing w:line="360" w:lineRule="auto"/>
        <w:ind w:leftChars="0" w:left="720"/>
        <w:rPr>
          <w:rFonts w:eastAsiaTheme="minorEastAsia"/>
          <w:lang w:val="en-US" w:eastAsia="zh-CN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Theme="minorEastAsia"/>
          <w:b/>
          <w:lang w:eastAsia="ko-KR"/>
        </w:rPr>
      </w:pPr>
      <w:r>
        <w:rPr>
          <w:rFonts w:eastAsia="宋体" w:hint="eastAsia"/>
          <w:b/>
          <w:lang w:eastAsia="zh-CN"/>
        </w:rPr>
        <w:t>Housing</w:t>
      </w:r>
    </w:p>
    <w:tbl>
      <w:tblPr>
        <w:tblStyle w:val="a6"/>
        <w:tblW w:w="9311" w:type="dxa"/>
        <w:tblInd w:w="720" w:type="dxa"/>
        <w:tblLayout w:type="fixed"/>
        <w:tblLook w:val="04A0"/>
      </w:tblPr>
      <w:tblGrid>
        <w:gridCol w:w="2765"/>
        <w:gridCol w:w="6546"/>
      </w:tblGrid>
      <w:tr w:rsidR="00FC7A5F">
        <w:tc>
          <w:tcPr>
            <w:tcW w:w="2765" w:type="dxa"/>
            <w:vAlign w:val="center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ko-KR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Dormitory Information</w:t>
            </w:r>
          </w:p>
        </w:tc>
        <w:tc>
          <w:tcPr>
            <w:tcW w:w="6546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18"/>
                <w:szCs w:val="18"/>
                <w:lang w:eastAsia="zh-CN"/>
              </w:rPr>
              <w:t>All exchange students will be assigned to stay on-campus housing, so there is no need to apply. Each room of double occupancy has toilet, cabinet, television, air conditioner, etc. The dormitory also provides students with kitchen and laundry.</w:t>
            </w:r>
            <w:r>
              <w:rPr>
                <w:rFonts w:eastAsia="宋体"/>
                <w:sz w:val="21"/>
                <w:szCs w:val="22"/>
                <w:lang w:eastAsia="zh-CN"/>
              </w:rPr>
              <w:t xml:space="preserve"> </w:t>
            </w:r>
          </w:p>
        </w:tc>
      </w:tr>
      <w:tr w:rsidR="00FC7A5F">
        <w:tc>
          <w:tcPr>
            <w:tcW w:w="2765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Note:</w:t>
            </w:r>
          </w:p>
        </w:tc>
        <w:tc>
          <w:tcPr>
            <w:tcW w:w="6546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val="en-US" w:eastAsia="zh-CN"/>
              </w:rPr>
            </w:pPr>
            <w:r>
              <w:rPr>
                <w:rFonts w:eastAsia="宋体"/>
                <w:sz w:val="21"/>
                <w:szCs w:val="22"/>
                <w:lang w:val="en-US" w:eastAsia="zh-CN"/>
              </w:rPr>
              <w:t>Exchange students must stay on-campus housing.</w:t>
            </w:r>
          </w:p>
        </w:tc>
      </w:tr>
    </w:tbl>
    <w:p w:rsidR="00FC7A5F" w:rsidRDefault="00A022FF">
      <w:pPr>
        <w:pStyle w:val="1"/>
        <w:spacing w:line="360" w:lineRule="auto"/>
        <w:ind w:leftChars="0" w:left="720"/>
        <w:rPr>
          <w:rFonts w:eastAsiaTheme="minorEastAsia"/>
          <w:lang w:eastAsia="zh-CN"/>
        </w:rPr>
      </w:pPr>
      <w:r>
        <w:rPr>
          <w:rFonts w:eastAsiaTheme="minorEastAsia"/>
          <w:b/>
          <w:sz w:val="22"/>
          <w:lang w:eastAsia="zh-CN"/>
        </w:rPr>
        <w:t>*</w:t>
      </w:r>
      <w:r>
        <w:rPr>
          <w:rFonts w:eastAsiaTheme="minorEastAsia" w:hint="eastAsia"/>
          <w:b/>
          <w:sz w:val="22"/>
          <w:lang w:eastAsia="zh-CN"/>
        </w:rPr>
        <w:t xml:space="preserve"> </w:t>
      </w:r>
      <w:r>
        <w:rPr>
          <w:rFonts w:eastAsia="宋体" w:hint="eastAsia"/>
          <w:b/>
          <w:sz w:val="22"/>
          <w:lang w:eastAsia="zh-CN"/>
        </w:rPr>
        <w:t>Welcom</w:t>
      </w:r>
      <w:r>
        <w:rPr>
          <w:rFonts w:eastAsia="宋体"/>
          <w:b/>
          <w:sz w:val="22"/>
          <w:lang w:eastAsia="zh-CN"/>
        </w:rPr>
        <w:t>e</w:t>
      </w:r>
      <w:r>
        <w:rPr>
          <w:rFonts w:eastAsia="宋体" w:hint="eastAsia"/>
          <w:b/>
          <w:sz w:val="22"/>
          <w:lang w:eastAsia="zh-CN"/>
        </w:rPr>
        <w:t xml:space="preserve"> gift</w:t>
      </w:r>
      <w:r>
        <w:rPr>
          <w:rFonts w:eastAsia="宋体"/>
          <w:b/>
          <w:sz w:val="22"/>
          <w:lang w:eastAsia="zh-CN"/>
        </w:rPr>
        <w:t>s</w:t>
      </w:r>
      <w:r>
        <w:rPr>
          <w:rFonts w:eastAsia="宋体" w:hint="eastAsia"/>
          <w:b/>
          <w:sz w:val="22"/>
          <w:lang w:eastAsia="zh-CN"/>
        </w:rPr>
        <w:t>: quilt and pillow.</w:t>
      </w: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Theme="minorEastAsia"/>
          <w:b/>
          <w:lang w:eastAsia="ko-KR"/>
        </w:rPr>
      </w:pPr>
      <w:r>
        <w:rPr>
          <w:rFonts w:eastAsia="宋体" w:hint="eastAsia"/>
          <w:b/>
          <w:lang w:eastAsia="zh-CN"/>
        </w:rPr>
        <w:t>Insurance</w:t>
      </w:r>
    </w:p>
    <w:tbl>
      <w:tblPr>
        <w:tblStyle w:val="a6"/>
        <w:tblW w:w="9334" w:type="dxa"/>
        <w:tblInd w:w="720" w:type="dxa"/>
        <w:tblLayout w:type="fixed"/>
        <w:tblLook w:val="04A0"/>
      </w:tblPr>
      <w:tblGrid>
        <w:gridCol w:w="1885"/>
        <w:gridCol w:w="7449"/>
      </w:tblGrid>
      <w:tr w:rsidR="00FC7A5F">
        <w:tc>
          <w:tcPr>
            <w:tcW w:w="1885" w:type="dxa"/>
            <w:vAlign w:val="center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ko-KR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Application</w:t>
            </w:r>
          </w:p>
        </w:tc>
        <w:tc>
          <w:tcPr>
            <w:tcW w:w="7449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Students need to pay for the insurance within registration period and SDUW will be responsible for purchasing. It is mandatory for all international exchange st</w:t>
            </w:r>
            <w:r w:rsidR="004A30F3">
              <w:rPr>
                <w:rFonts w:eastAsia="宋体"/>
                <w:sz w:val="21"/>
                <w:szCs w:val="22"/>
                <w:lang w:eastAsia="zh-CN"/>
              </w:rPr>
              <w:t xml:space="preserve">udents studying in China to </w:t>
            </w:r>
            <w:r w:rsidR="004A30F3">
              <w:rPr>
                <w:rFonts w:eastAsia="宋体" w:hint="eastAsia"/>
                <w:sz w:val="21"/>
                <w:szCs w:val="22"/>
                <w:lang w:eastAsia="zh-CN"/>
              </w:rPr>
              <w:t>purchase</w:t>
            </w:r>
            <w:r w:rsidR="004A30F3">
              <w:rPr>
                <w:rFonts w:eastAsia="宋体"/>
                <w:sz w:val="21"/>
                <w:szCs w:val="22"/>
                <w:lang w:eastAsia="zh-CN"/>
              </w:rPr>
              <w:t xml:space="preserve"> a</w:t>
            </w:r>
            <w:r w:rsidR="004A30F3">
              <w:rPr>
                <w:rFonts w:eastAsia="宋体" w:hint="eastAsia"/>
                <w:sz w:val="21"/>
                <w:szCs w:val="22"/>
                <w:lang w:eastAsia="zh-CN"/>
              </w:rPr>
              <w:t xml:space="preserve"> local</w:t>
            </w:r>
            <w:r>
              <w:rPr>
                <w:rFonts w:eastAsia="宋体"/>
                <w:sz w:val="21"/>
                <w:szCs w:val="22"/>
                <w:lang w:eastAsia="zh-CN"/>
              </w:rPr>
              <w:t xml:space="preserve"> insurance. Please refer to</w:t>
            </w:r>
            <w:hyperlink r:id="rId9" w:history="1">
              <w:r>
                <w:rPr>
                  <w:rStyle w:val="a7"/>
                  <w:rFonts w:eastAsia="宋体"/>
                  <w:sz w:val="21"/>
                  <w:szCs w:val="22"/>
                  <w:lang w:eastAsia="zh-CN"/>
                </w:rPr>
                <w:t xml:space="preserve"> </w:t>
              </w:r>
              <w:r>
                <w:rPr>
                  <w:rStyle w:val="a7"/>
                  <w:rFonts w:eastAsia="宋体"/>
                  <w:sz w:val="21"/>
                  <w:szCs w:val="22"/>
                  <w:lang w:eastAsia="zh-CN"/>
                </w:rPr>
                <w:t>平安留学官方网站</w:t>
              </w:r>
            </w:hyperlink>
          </w:p>
        </w:tc>
      </w:tr>
      <w:tr w:rsidR="00FC7A5F">
        <w:tc>
          <w:tcPr>
            <w:tcW w:w="1885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ko-KR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Fee:</w:t>
            </w:r>
          </w:p>
        </w:tc>
        <w:tc>
          <w:tcPr>
            <w:tcW w:w="7449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RMB</w:t>
            </w:r>
            <w:r>
              <w:rPr>
                <w:rFonts w:eastAsia="宋体"/>
                <w:sz w:val="21"/>
                <w:szCs w:val="22"/>
                <w:lang w:val="en-US" w:eastAsia="zh-CN"/>
              </w:rPr>
              <w:t>400 per semester</w:t>
            </w:r>
          </w:p>
        </w:tc>
      </w:tr>
    </w:tbl>
    <w:p w:rsidR="00FC7A5F" w:rsidRDefault="00FC7A5F">
      <w:pPr>
        <w:pStyle w:val="1"/>
        <w:spacing w:line="360" w:lineRule="auto"/>
        <w:ind w:leftChars="0" w:left="720"/>
        <w:rPr>
          <w:rFonts w:eastAsia="宋体"/>
          <w:lang w:eastAsia="zh-CN"/>
        </w:rPr>
      </w:pPr>
    </w:p>
    <w:p w:rsidR="00FC7A5F" w:rsidRDefault="00A022FF">
      <w:pPr>
        <w:pStyle w:val="1"/>
        <w:numPr>
          <w:ilvl w:val="0"/>
          <w:numId w:val="1"/>
        </w:numPr>
        <w:spacing w:line="360" w:lineRule="auto"/>
        <w:ind w:leftChars="0"/>
        <w:rPr>
          <w:rFonts w:eastAsiaTheme="minorEastAsia"/>
          <w:b/>
          <w:lang w:eastAsia="ko-KR"/>
        </w:rPr>
      </w:pPr>
      <w:r>
        <w:rPr>
          <w:rFonts w:eastAsia="宋体" w:hint="eastAsia"/>
          <w:b/>
          <w:lang w:eastAsia="zh-CN"/>
        </w:rPr>
        <w:t>Additional Fees</w:t>
      </w:r>
    </w:p>
    <w:tbl>
      <w:tblPr>
        <w:tblStyle w:val="a6"/>
        <w:tblW w:w="9397" w:type="dxa"/>
        <w:tblInd w:w="720" w:type="dxa"/>
        <w:tblLayout w:type="fixed"/>
        <w:tblLook w:val="04A0"/>
      </w:tblPr>
      <w:tblGrid>
        <w:gridCol w:w="1961"/>
        <w:gridCol w:w="7436"/>
      </w:tblGrid>
      <w:tr w:rsidR="00FC7A5F">
        <w:tc>
          <w:tcPr>
            <w:tcW w:w="1961" w:type="dxa"/>
            <w:vAlign w:val="center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ko-KR"/>
              </w:rPr>
            </w:pPr>
            <w:r>
              <w:rPr>
                <w:rFonts w:eastAsia="宋体"/>
                <w:sz w:val="21"/>
                <w:szCs w:val="22"/>
                <w:lang w:eastAsia="ko-KR"/>
              </w:rPr>
              <w:t>Dormitory</w:t>
            </w:r>
          </w:p>
        </w:tc>
        <w:tc>
          <w:tcPr>
            <w:tcW w:w="7436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Fee: RMB</w:t>
            </w:r>
            <w:r w:rsidR="00BA6C83">
              <w:rPr>
                <w:rFonts w:eastAsia="宋体"/>
                <w:sz w:val="21"/>
                <w:szCs w:val="22"/>
                <w:lang w:val="en-US" w:eastAsia="zh-CN"/>
              </w:rPr>
              <w:t>4000</w:t>
            </w:r>
            <w:r w:rsidR="00BB38C7">
              <w:rPr>
                <w:rFonts w:eastAsia="Malgun Gothic" w:hint="eastAsia"/>
                <w:sz w:val="21"/>
                <w:szCs w:val="22"/>
                <w:lang w:val="en-US" w:eastAsia="ko-KR"/>
              </w:rPr>
              <w:t>-5000</w:t>
            </w:r>
            <w:r>
              <w:rPr>
                <w:rFonts w:eastAsia="宋体"/>
                <w:sz w:val="21"/>
                <w:szCs w:val="22"/>
                <w:lang w:val="en-US" w:eastAsia="zh-CN"/>
              </w:rPr>
              <w:t>per semester</w:t>
            </w:r>
          </w:p>
        </w:tc>
      </w:tr>
      <w:tr w:rsidR="00FC7A5F">
        <w:tc>
          <w:tcPr>
            <w:tcW w:w="1961" w:type="dxa"/>
            <w:vAlign w:val="center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ko-KR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Visa Fee</w:t>
            </w:r>
          </w:p>
        </w:tc>
        <w:tc>
          <w:tcPr>
            <w:tcW w:w="7436" w:type="dxa"/>
          </w:tcPr>
          <w:p w:rsidR="00FC7A5F" w:rsidRDefault="00A022FF" w:rsidP="00BA6C83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 xml:space="preserve">Students shall apply for Temporary Residence Permit upon entry into China according to their stay period. The fee for visa is 400 yuan. </w:t>
            </w:r>
          </w:p>
        </w:tc>
      </w:tr>
      <w:tr w:rsidR="00FC7A5F">
        <w:tc>
          <w:tcPr>
            <w:tcW w:w="1961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Physical Examination Fee (Students shall receive the exam in South Korea)</w:t>
            </w:r>
          </w:p>
        </w:tc>
        <w:tc>
          <w:tcPr>
            <w:tcW w:w="7436" w:type="dxa"/>
          </w:tcPr>
          <w:p w:rsidR="00FC7A5F" w:rsidRDefault="00FC7A5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</w:p>
        </w:tc>
      </w:tr>
      <w:tr w:rsidR="00FC7A5F">
        <w:tc>
          <w:tcPr>
            <w:tcW w:w="1961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Other Fees</w:t>
            </w:r>
          </w:p>
        </w:tc>
        <w:tc>
          <w:tcPr>
            <w:tcW w:w="7436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None</w:t>
            </w:r>
          </w:p>
        </w:tc>
      </w:tr>
    </w:tbl>
    <w:p w:rsidR="00FC7A5F" w:rsidRDefault="00FC7A5F">
      <w:pPr>
        <w:pStyle w:val="1"/>
        <w:spacing w:line="360" w:lineRule="auto"/>
        <w:ind w:leftChars="0" w:left="720"/>
        <w:rPr>
          <w:rFonts w:eastAsia="宋体"/>
          <w:lang w:eastAsia="zh-CN"/>
        </w:rPr>
      </w:pPr>
    </w:p>
    <w:p w:rsidR="00FC7A5F" w:rsidRDefault="00A022FF">
      <w:pPr>
        <w:spacing w:line="360" w:lineRule="auto"/>
        <w:ind w:left="360"/>
        <w:rPr>
          <w:rFonts w:eastAsiaTheme="minorEastAsia"/>
          <w:b/>
          <w:lang w:eastAsia="ko-KR"/>
        </w:rPr>
      </w:pPr>
      <w:r>
        <w:rPr>
          <w:rFonts w:eastAsia="宋体" w:hint="eastAsia"/>
          <w:b/>
          <w:lang w:eastAsia="zh-CN"/>
        </w:rPr>
        <w:t>8</w:t>
      </w:r>
      <w:r>
        <w:rPr>
          <w:rFonts w:eastAsia="宋体"/>
          <w:b/>
          <w:lang w:eastAsia="zh-CN"/>
        </w:rPr>
        <w:t>.    Visa</w:t>
      </w:r>
    </w:p>
    <w:tbl>
      <w:tblPr>
        <w:tblStyle w:val="a6"/>
        <w:tblW w:w="9334" w:type="dxa"/>
        <w:tblInd w:w="720" w:type="dxa"/>
        <w:tblLayout w:type="fixed"/>
        <w:tblLook w:val="04A0"/>
      </w:tblPr>
      <w:tblGrid>
        <w:gridCol w:w="3055"/>
        <w:gridCol w:w="6279"/>
      </w:tblGrid>
      <w:tr w:rsidR="00FC7A5F">
        <w:tc>
          <w:tcPr>
            <w:tcW w:w="3055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>Visa Application</w:t>
            </w:r>
          </w:p>
        </w:tc>
        <w:tc>
          <w:tcPr>
            <w:tcW w:w="6279" w:type="dxa"/>
          </w:tcPr>
          <w:p w:rsidR="00FC7A5F" w:rsidRDefault="00A022FF">
            <w:pPr>
              <w:pStyle w:val="1"/>
              <w:ind w:leftChars="0" w:left="0"/>
              <w:rPr>
                <w:rFonts w:eastAsia="宋体"/>
                <w:sz w:val="21"/>
                <w:szCs w:val="22"/>
                <w:lang w:eastAsia="zh-CN"/>
              </w:rPr>
            </w:pPr>
            <w:r>
              <w:rPr>
                <w:rFonts w:eastAsia="宋体"/>
                <w:sz w:val="21"/>
                <w:szCs w:val="22"/>
                <w:lang w:eastAsia="zh-CN"/>
              </w:rPr>
              <w:t xml:space="preserve">SDUW will be responsible for guiding exchange students to apply for Temporary Residence Permit at the local Public Security Bureau upon their registration. </w:t>
            </w:r>
          </w:p>
        </w:tc>
      </w:tr>
    </w:tbl>
    <w:p w:rsidR="00FC7A5F" w:rsidRDefault="00FC7A5F">
      <w:pPr>
        <w:pStyle w:val="1"/>
        <w:spacing w:line="360" w:lineRule="auto"/>
        <w:ind w:leftChars="0" w:left="720"/>
        <w:rPr>
          <w:rFonts w:eastAsiaTheme="minorEastAsia"/>
          <w:lang w:eastAsia="zh-CN"/>
        </w:rPr>
      </w:pPr>
    </w:p>
    <w:p w:rsidR="00FC7A5F" w:rsidRDefault="00FC7A5F">
      <w:pPr>
        <w:rPr>
          <w:rFonts w:eastAsia="Malgun Gothic"/>
          <w:lang w:eastAsia="zh-CN"/>
        </w:rPr>
      </w:pPr>
    </w:p>
    <w:p w:rsidR="00FC7A5F" w:rsidRDefault="00FC7A5F">
      <w:pPr>
        <w:rPr>
          <w:rFonts w:eastAsia="Malgun Gothic"/>
          <w:lang w:eastAsia="zh-CN"/>
        </w:rPr>
      </w:pPr>
    </w:p>
    <w:p w:rsidR="00FC7A5F" w:rsidRDefault="00FC7A5F">
      <w:pPr>
        <w:rPr>
          <w:rFonts w:eastAsiaTheme="minorEastAsia"/>
          <w:sz w:val="18"/>
          <w:lang w:eastAsia="zh-CN"/>
        </w:rPr>
      </w:pPr>
    </w:p>
    <w:p w:rsidR="00FC7A5F" w:rsidRDefault="00FC7A5F">
      <w:pPr>
        <w:rPr>
          <w:lang w:eastAsia="zh-CN"/>
        </w:rPr>
      </w:pPr>
    </w:p>
    <w:sectPr w:rsidR="00FC7A5F" w:rsidSect="00FC7A5F">
      <w:pgSz w:w="11906" w:h="16838"/>
      <w:pgMar w:top="709" w:right="991" w:bottom="0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3A1" w:rsidRDefault="00D373A1" w:rsidP="00297074">
      <w:r>
        <w:separator/>
      </w:r>
    </w:p>
  </w:endnote>
  <w:endnote w:type="continuationSeparator" w:id="0">
    <w:p w:rsidR="00D373A1" w:rsidRDefault="00D373A1" w:rsidP="00297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3A1" w:rsidRDefault="00D373A1" w:rsidP="00297074">
      <w:r>
        <w:separator/>
      </w:r>
    </w:p>
  </w:footnote>
  <w:footnote w:type="continuationSeparator" w:id="0">
    <w:p w:rsidR="00D373A1" w:rsidRDefault="00D373A1" w:rsidP="002970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F266F"/>
    <w:multiLevelType w:val="multilevel"/>
    <w:tmpl w:val="79DF266F"/>
    <w:lvl w:ilvl="0">
      <w:start w:val="1"/>
      <w:numFmt w:val="decimal"/>
      <w:lvlText w:val="%1."/>
      <w:lvlJc w:val="left"/>
      <w:pPr>
        <w:ind w:left="720" w:hanging="360"/>
      </w:pPr>
      <w:rPr>
        <w:rFonts w:eastAsia="宋体" w:hint="default"/>
        <w:sz w:val="24"/>
      </w:rPr>
    </w:lvl>
    <w:lvl w:ilvl="1">
      <w:start w:val="1"/>
      <w:numFmt w:val="upperLetter"/>
      <w:lvlText w:val="%2."/>
      <w:lvlJc w:val="left"/>
      <w:pPr>
        <w:ind w:left="1160" w:hanging="400"/>
      </w:pPr>
    </w:lvl>
    <w:lvl w:ilvl="2">
      <w:start w:val="1"/>
      <w:numFmt w:val="lowerRoman"/>
      <w:lvlText w:val="%3."/>
      <w:lvlJc w:val="right"/>
      <w:pPr>
        <w:ind w:left="1560" w:hanging="400"/>
      </w:pPr>
    </w:lvl>
    <w:lvl w:ilvl="3">
      <w:start w:val="1"/>
      <w:numFmt w:val="decimal"/>
      <w:lvlText w:val="%4."/>
      <w:lvlJc w:val="left"/>
      <w:pPr>
        <w:ind w:left="1960" w:hanging="400"/>
      </w:pPr>
    </w:lvl>
    <w:lvl w:ilvl="4">
      <w:start w:val="1"/>
      <w:numFmt w:val="upperLetter"/>
      <w:lvlText w:val="%5."/>
      <w:lvlJc w:val="left"/>
      <w:pPr>
        <w:ind w:left="2360" w:hanging="400"/>
      </w:pPr>
    </w:lvl>
    <w:lvl w:ilvl="5">
      <w:start w:val="1"/>
      <w:numFmt w:val="lowerRoman"/>
      <w:lvlText w:val="%6."/>
      <w:lvlJc w:val="right"/>
      <w:pPr>
        <w:ind w:left="2760" w:hanging="400"/>
      </w:pPr>
    </w:lvl>
    <w:lvl w:ilvl="6">
      <w:start w:val="1"/>
      <w:numFmt w:val="decimal"/>
      <w:lvlText w:val="%7."/>
      <w:lvlJc w:val="left"/>
      <w:pPr>
        <w:ind w:left="3160" w:hanging="400"/>
      </w:pPr>
    </w:lvl>
    <w:lvl w:ilvl="7">
      <w:start w:val="1"/>
      <w:numFmt w:val="upperLetter"/>
      <w:lvlText w:val="%8."/>
      <w:lvlJc w:val="left"/>
      <w:pPr>
        <w:ind w:left="3560" w:hanging="400"/>
      </w:pPr>
    </w:lvl>
    <w:lvl w:ilvl="8">
      <w:start w:val="1"/>
      <w:numFmt w:val="lowerRoman"/>
      <w:lvlText w:val="%9."/>
      <w:lvlJc w:val="right"/>
      <w:pPr>
        <w:ind w:left="396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098C"/>
    <w:rsid w:val="00023054"/>
    <w:rsid w:val="0007138C"/>
    <w:rsid w:val="00074D78"/>
    <w:rsid w:val="00086EE3"/>
    <w:rsid w:val="000B3971"/>
    <w:rsid w:val="000B474A"/>
    <w:rsid w:val="000C260C"/>
    <w:rsid w:val="000D7DD7"/>
    <w:rsid w:val="000F6391"/>
    <w:rsid w:val="000F74CF"/>
    <w:rsid w:val="0011161E"/>
    <w:rsid w:val="001208DA"/>
    <w:rsid w:val="00141560"/>
    <w:rsid w:val="001442F6"/>
    <w:rsid w:val="001864E5"/>
    <w:rsid w:val="00196A3C"/>
    <w:rsid w:val="001A3266"/>
    <w:rsid w:val="001B103E"/>
    <w:rsid w:val="001D0458"/>
    <w:rsid w:val="001D766F"/>
    <w:rsid w:val="00204C29"/>
    <w:rsid w:val="002107E6"/>
    <w:rsid w:val="00216A9F"/>
    <w:rsid w:val="00227D20"/>
    <w:rsid w:val="00272DDF"/>
    <w:rsid w:val="0028046E"/>
    <w:rsid w:val="00297074"/>
    <w:rsid w:val="002A2CA9"/>
    <w:rsid w:val="002A506E"/>
    <w:rsid w:val="002C401B"/>
    <w:rsid w:val="002F3CA5"/>
    <w:rsid w:val="002F4C70"/>
    <w:rsid w:val="00327C00"/>
    <w:rsid w:val="00355FA2"/>
    <w:rsid w:val="0038650C"/>
    <w:rsid w:val="0038759C"/>
    <w:rsid w:val="003A2428"/>
    <w:rsid w:val="003A30A2"/>
    <w:rsid w:val="003D185D"/>
    <w:rsid w:val="00455A26"/>
    <w:rsid w:val="00472B2F"/>
    <w:rsid w:val="00486338"/>
    <w:rsid w:val="00487AD3"/>
    <w:rsid w:val="004A30F3"/>
    <w:rsid w:val="004B1975"/>
    <w:rsid w:val="004D7F1E"/>
    <w:rsid w:val="00501461"/>
    <w:rsid w:val="0051238E"/>
    <w:rsid w:val="0053098C"/>
    <w:rsid w:val="0058672E"/>
    <w:rsid w:val="005C781D"/>
    <w:rsid w:val="005E4882"/>
    <w:rsid w:val="005E5D9A"/>
    <w:rsid w:val="005E64AE"/>
    <w:rsid w:val="005F2EC3"/>
    <w:rsid w:val="005F354E"/>
    <w:rsid w:val="00615CB6"/>
    <w:rsid w:val="00627113"/>
    <w:rsid w:val="006468AF"/>
    <w:rsid w:val="006B6CE4"/>
    <w:rsid w:val="006B7F32"/>
    <w:rsid w:val="00724E8B"/>
    <w:rsid w:val="00727273"/>
    <w:rsid w:val="00732A86"/>
    <w:rsid w:val="00753965"/>
    <w:rsid w:val="007A49DA"/>
    <w:rsid w:val="007B241B"/>
    <w:rsid w:val="007D07B6"/>
    <w:rsid w:val="007E6487"/>
    <w:rsid w:val="00827C9F"/>
    <w:rsid w:val="008307EA"/>
    <w:rsid w:val="008573FF"/>
    <w:rsid w:val="008640BE"/>
    <w:rsid w:val="0086717A"/>
    <w:rsid w:val="00880BDB"/>
    <w:rsid w:val="0088154F"/>
    <w:rsid w:val="00885886"/>
    <w:rsid w:val="008860F9"/>
    <w:rsid w:val="0089410F"/>
    <w:rsid w:val="008A2C64"/>
    <w:rsid w:val="008B1FB1"/>
    <w:rsid w:val="008D165C"/>
    <w:rsid w:val="008F183B"/>
    <w:rsid w:val="00905FF4"/>
    <w:rsid w:val="00931442"/>
    <w:rsid w:val="00931975"/>
    <w:rsid w:val="00936DB6"/>
    <w:rsid w:val="009531A5"/>
    <w:rsid w:val="0096663B"/>
    <w:rsid w:val="00987458"/>
    <w:rsid w:val="009904A6"/>
    <w:rsid w:val="009A3FB0"/>
    <w:rsid w:val="009B5D6C"/>
    <w:rsid w:val="009D674F"/>
    <w:rsid w:val="00A022FF"/>
    <w:rsid w:val="00A100E8"/>
    <w:rsid w:val="00A231D7"/>
    <w:rsid w:val="00A354DB"/>
    <w:rsid w:val="00A56FC4"/>
    <w:rsid w:val="00A60587"/>
    <w:rsid w:val="00A739BA"/>
    <w:rsid w:val="00A91584"/>
    <w:rsid w:val="00A92358"/>
    <w:rsid w:val="00AA74F6"/>
    <w:rsid w:val="00AD3575"/>
    <w:rsid w:val="00AD416E"/>
    <w:rsid w:val="00AF4ACB"/>
    <w:rsid w:val="00B01D9C"/>
    <w:rsid w:val="00B1337F"/>
    <w:rsid w:val="00B333BC"/>
    <w:rsid w:val="00B42BF1"/>
    <w:rsid w:val="00B5336E"/>
    <w:rsid w:val="00B5532A"/>
    <w:rsid w:val="00B5712E"/>
    <w:rsid w:val="00B9285D"/>
    <w:rsid w:val="00BA6C83"/>
    <w:rsid w:val="00BB38C7"/>
    <w:rsid w:val="00BC0FC3"/>
    <w:rsid w:val="00BC6424"/>
    <w:rsid w:val="00BE02AD"/>
    <w:rsid w:val="00BE6CAC"/>
    <w:rsid w:val="00BF47CF"/>
    <w:rsid w:val="00BF5A78"/>
    <w:rsid w:val="00BF79C1"/>
    <w:rsid w:val="00C21EFB"/>
    <w:rsid w:val="00C267C3"/>
    <w:rsid w:val="00C4419A"/>
    <w:rsid w:val="00C61778"/>
    <w:rsid w:val="00C71090"/>
    <w:rsid w:val="00C812D3"/>
    <w:rsid w:val="00CA2206"/>
    <w:rsid w:val="00CB64CA"/>
    <w:rsid w:val="00CC492C"/>
    <w:rsid w:val="00CE1142"/>
    <w:rsid w:val="00D2758D"/>
    <w:rsid w:val="00D36055"/>
    <w:rsid w:val="00D373A1"/>
    <w:rsid w:val="00D60BF5"/>
    <w:rsid w:val="00D61095"/>
    <w:rsid w:val="00D747C4"/>
    <w:rsid w:val="00DD2C0E"/>
    <w:rsid w:val="00DD38C6"/>
    <w:rsid w:val="00E03158"/>
    <w:rsid w:val="00E13D06"/>
    <w:rsid w:val="00E17C6A"/>
    <w:rsid w:val="00E200BE"/>
    <w:rsid w:val="00E21762"/>
    <w:rsid w:val="00E3215B"/>
    <w:rsid w:val="00E436DB"/>
    <w:rsid w:val="00E55DA0"/>
    <w:rsid w:val="00E71A84"/>
    <w:rsid w:val="00EC1114"/>
    <w:rsid w:val="00F06C0F"/>
    <w:rsid w:val="00F24B8B"/>
    <w:rsid w:val="00F5507B"/>
    <w:rsid w:val="00FA124E"/>
    <w:rsid w:val="00FA6DAE"/>
    <w:rsid w:val="00FB417A"/>
    <w:rsid w:val="00FC4525"/>
    <w:rsid w:val="00FC5910"/>
    <w:rsid w:val="00FC6017"/>
    <w:rsid w:val="00FC7A5F"/>
    <w:rsid w:val="00FD1592"/>
    <w:rsid w:val="00FD1838"/>
    <w:rsid w:val="00FE2D39"/>
    <w:rsid w:val="00FE5785"/>
    <w:rsid w:val="17F70AE1"/>
    <w:rsid w:val="1CC3337A"/>
    <w:rsid w:val="21795397"/>
    <w:rsid w:val="2376172D"/>
    <w:rsid w:val="3D734392"/>
    <w:rsid w:val="468C38C8"/>
    <w:rsid w:val="477B063E"/>
    <w:rsid w:val="4BF14840"/>
    <w:rsid w:val="56D06BD6"/>
    <w:rsid w:val="5A525DBE"/>
    <w:rsid w:val="5F512A83"/>
    <w:rsid w:val="60707833"/>
    <w:rsid w:val="68843282"/>
    <w:rsid w:val="6A8602D1"/>
    <w:rsid w:val="72EC781B"/>
    <w:rsid w:val="7C2E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5F"/>
    <w:rPr>
      <w:rFonts w:ascii="Times New Roman" w:eastAsia="MS Mincho" w:hAnsi="Times New Roman" w:cs="Times New Roman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C7A5F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C7A5F"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1"/>
    <w:uiPriority w:val="99"/>
    <w:unhideWhenUsed/>
    <w:qFormat/>
    <w:rsid w:val="00FC7A5F"/>
    <w:pPr>
      <w:tabs>
        <w:tab w:val="center" w:pos="4513"/>
        <w:tab w:val="right" w:pos="9026"/>
      </w:tabs>
      <w:snapToGrid w:val="0"/>
    </w:pPr>
  </w:style>
  <w:style w:type="table" w:styleId="a6">
    <w:name w:val="Table Grid"/>
    <w:basedOn w:val="a1"/>
    <w:uiPriority w:val="59"/>
    <w:qFormat/>
    <w:rsid w:val="00FC7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unhideWhenUsed/>
    <w:qFormat/>
    <w:rsid w:val="00FC7A5F"/>
    <w:rPr>
      <w:color w:val="800080"/>
      <w:u w:val="single"/>
    </w:rPr>
  </w:style>
  <w:style w:type="character" w:styleId="a8">
    <w:name w:val="Hyperlink"/>
    <w:basedOn w:val="a0"/>
    <w:uiPriority w:val="99"/>
    <w:unhideWhenUsed/>
    <w:qFormat/>
    <w:rsid w:val="00FC7A5F"/>
    <w:rPr>
      <w:color w:val="0000FF" w:themeColor="hyperlink"/>
      <w:u w:val="single"/>
    </w:rPr>
  </w:style>
  <w:style w:type="paragraph" w:customStyle="1" w:styleId="1">
    <w:name w:val="列出段落1"/>
    <w:basedOn w:val="a"/>
    <w:uiPriority w:val="34"/>
    <w:qFormat/>
    <w:rsid w:val="00FC7A5F"/>
    <w:pPr>
      <w:ind w:leftChars="400" w:left="800"/>
    </w:pPr>
  </w:style>
  <w:style w:type="character" w:customStyle="1" w:styleId="Char1">
    <w:name w:val="页眉 Char"/>
    <w:basedOn w:val="a0"/>
    <w:link w:val="a5"/>
    <w:uiPriority w:val="99"/>
    <w:qFormat/>
    <w:rsid w:val="00FC7A5F"/>
    <w:rPr>
      <w:rFonts w:ascii="Times New Roman" w:eastAsia="MS Mincho" w:hAnsi="Times New Roman" w:cs="Times New Roman"/>
      <w:sz w:val="20"/>
      <w:szCs w:val="20"/>
      <w:lang w:val="en-AU" w:eastAsia="en-US"/>
    </w:rPr>
  </w:style>
  <w:style w:type="character" w:customStyle="1" w:styleId="Char0">
    <w:name w:val="页脚 Char"/>
    <w:basedOn w:val="a0"/>
    <w:link w:val="a4"/>
    <w:uiPriority w:val="99"/>
    <w:qFormat/>
    <w:rsid w:val="00FC7A5F"/>
    <w:rPr>
      <w:rFonts w:ascii="Times New Roman" w:eastAsia="MS Mincho" w:hAnsi="Times New Roman" w:cs="Times New Roman"/>
      <w:sz w:val="20"/>
      <w:szCs w:val="20"/>
      <w:lang w:val="en-AU" w:eastAsia="en-US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C7A5F"/>
    <w:rPr>
      <w:rFonts w:ascii="Tahoma" w:eastAsia="MS Mincho" w:hAnsi="Tahoma" w:cs="Tahoma"/>
      <w:sz w:val="16"/>
      <w:szCs w:val="16"/>
      <w:lang w:val="en-AU" w:eastAsia="en-US"/>
    </w:rPr>
  </w:style>
  <w:style w:type="character" w:customStyle="1" w:styleId="il">
    <w:name w:val="il"/>
    <w:basedOn w:val="a0"/>
    <w:qFormat/>
    <w:rsid w:val="00FC7A5F"/>
  </w:style>
  <w:style w:type="paragraph" w:customStyle="1" w:styleId="a9">
    <w:name w:val="바탕글"/>
    <w:basedOn w:val="a"/>
    <w:qFormat/>
    <w:rsid w:val="00FC7A5F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lxbx.net/article/baoxian-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C05A4F-1AE2-4646-8969-9D570DAE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22</cp:revision>
  <cp:lastPrinted>2016-03-09T07:11:00Z</cp:lastPrinted>
  <dcterms:created xsi:type="dcterms:W3CDTF">2016-09-26T01:57:00Z</dcterms:created>
  <dcterms:modified xsi:type="dcterms:W3CDTF">2021-06-15T08:32:00Z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